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D4F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关于举办第十三届中国创新创业大赛</w:t>
      </w:r>
    </w:p>
    <w:p w14:paraId="4D9525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方正小标宋简体" w:cs="Times New Roman"/>
          <w:sz w:val="44"/>
          <w:szCs w:val="44"/>
          <w:lang w:val="en-US" w:eastAsia="zh-CN"/>
        </w:rPr>
        <w:t>2024光电产业领域专业赛的通知</w:t>
      </w:r>
    </w:p>
    <w:p w14:paraId="44EBF083">
      <w:pPr>
        <w:pStyle w:val="11"/>
        <w:keepNext w:val="0"/>
        <w:keepLines w:val="0"/>
        <w:pageBreakBefore w:val="0"/>
        <w:widowControl/>
        <w:kinsoku/>
        <w:wordWrap w:val="0"/>
        <w:overflowPunct/>
        <w:topLinePunct/>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p>
    <w:p w14:paraId="15F5CEEA">
      <w:pPr>
        <w:pStyle w:val="11"/>
        <w:keepNext w:val="0"/>
        <w:keepLines w:val="0"/>
        <w:pageBreakBefore w:val="0"/>
        <w:widowControl/>
        <w:kinsoku/>
        <w:wordWrap w:val="0"/>
        <w:overflowPunct/>
        <w:topLinePunct/>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各有关单位：</w:t>
      </w:r>
    </w:p>
    <w:p w14:paraId="28AA1A45">
      <w:pPr>
        <w:pStyle w:val="11"/>
        <w:keepNext w:val="0"/>
        <w:keepLines w:val="0"/>
        <w:pageBreakBefore w:val="0"/>
        <w:widowControl/>
        <w:kinsoku/>
        <w:wordWrap w:val="0"/>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发挥</w:t>
      </w:r>
      <w:r>
        <w:rPr>
          <w:rFonts w:hint="default" w:ascii="Times New Roman" w:hAnsi="Times New Roman" w:eastAsia="仿宋_GB2312" w:cs="Times New Roman"/>
          <w:sz w:val="32"/>
          <w:szCs w:val="32"/>
          <w:lang w:val="en-US" w:eastAsia="zh-CN"/>
        </w:rPr>
        <w:t>广东</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光电</w:t>
      </w:r>
      <w:r>
        <w:rPr>
          <w:rFonts w:hint="default" w:ascii="Times New Roman" w:hAnsi="Times New Roman" w:eastAsia="仿宋_GB2312" w:cs="Times New Roman"/>
          <w:sz w:val="32"/>
          <w:szCs w:val="32"/>
        </w:rPr>
        <w:t>技术与产业优势，持续推动</w:t>
      </w:r>
      <w:r>
        <w:rPr>
          <w:rFonts w:hint="default" w:ascii="Times New Roman" w:hAnsi="Times New Roman" w:eastAsia="仿宋_GB2312" w:cs="Times New Roman"/>
          <w:sz w:val="32"/>
          <w:szCs w:val="32"/>
          <w:lang w:val="en-US" w:eastAsia="zh-CN"/>
        </w:rPr>
        <w:t>光电</w:t>
      </w:r>
      <w:r>
        <w:rPr>
          <w:rFonts w:hint="default" w:ascii="Times New Roman" w:hAnsi="Times New Roman" w:eastAsia="仿宋_GB2312" w:cs="Times New Roman"/>
          <w:sz w:val="32"/>
          <w:szCs w:val="32"/>
        </w:rPr>
        <w:t>产业科技创新和成果产业化，根据</w:t>
      </w:r>
      <w:r>
        <w:rPr>
          <w:rFonts w:hint="eastAsia" w:ascii="Times New Roman" w:hAnsi="Times New Roman" w:eastAsia="仿宋_GB2312" w:cs="Times New Roman"/>
          <w:sz w:val="32"/>
          <w:szCs w:val="32"/>
          <w:lang w:val="en-US" w:eastAsia="zh-CN"/>
        </w:rPr>
        <w:t>工业和信息化</w:t>
      </w:r>
      <w:r>
        <w:rPr>
          <w:rFonts w:hint="default" w:ascii="Times New Roman" w:hAnsi="Times New Roman" w:eastAsia="仿宋_GB2312" w:cs="Times New Roman"/>
          <w:sz w:val="32"/>
          <w:szCs w:val="32"/>
        </w:rPr>
        <w:t>部</w:t>
      </w:r>
      <w:r>
        <w:rPr>
          <w:rFonts w:hint="eastAsia" w:ascii="Times New Roman" w:hAnsi="Times New Roman" w:eastAsia="仿宋_GB2312" w:cs="Times New Roman"/>
          <w:sz w:val="32"/>
          <w:szCs w:val="32"/>
          <w:lang w:val="en-US" w:eastAsia="zh-CN"/>
        </w:rPr>
        <w:t>火炬中心</w:t>
      </w:r>
      <w:r>
        <w:rPr>
          <w:rFonts w:hint="default" w:ascii="Times New Roman" w:hAnsi="Times New Roman" w:eastAsia="仿宋_GB2312" w:cs="Times New Roman"/>
          <w:sz w:val="32"/>
          <w:szCs w:val="32"/>
        </w:rPr>
        <w:t>《关于举办第十</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届中国创新创业大赛的通知》（</w:t>
      </w:r>
      <w:r>
        <w:rPr>
          <w:rFonts w:hint="default" w:ascii="Times New Roman" w:hAnsi="Times New Roman" w:eastAsia="仿宋_GB2312" w:cs="Times New Roman"/>
          <w:sz w:val="32"/>
          <w:szCs w:val="32"/>
          <w:lang w:val="en-US" w:eastAsia="zh-CN"/>
        </w:rPr>
        <w:t>火炬</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号）要求，佛山市科学技术局、中国国际光电博览会</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北京昆仑创新研究院决定</w:t>
      </w:r>
      <w:r>
        <w:rPr>
          <w:rFonts w:hint="default" w:ascii="Times New Roman" w:hAnsi="Times New Roman" w:eastAsia="仿宋_GB2312" w:cs="Times New Roman"/>
          <w:sz w:val="32"/>
          <w:szCs w:val="32"/>
          <w:lang w:val="en-US" w:eastAsia="zh-CN"/>
        </w:rPr>
        <w:t>联合</w:t>
      </w:r>
      <w:r>
        <w:rPr>
          <w:rFonts w:hint="default" w:ascii="Times New Roman" w:hAnsi="Times New Roman" w:eastAsia="仿宋_GB2312" w:cs="Times New Roman"/>
          <w:sz w:val="32"/>
          <w:szCs w:val="32"/>
        </w:rPr>
        <w:t>举办第十三届中国创新创业大赛2024光电产业领域专业赛。</w:t>
      </w:r>
    </w:p>
    <w:p w14:paraId="51EB6555">
      <w:pPr>
        <w:pStyle w:val="11"/>
        <w:keepNext w:val="0"/>
        <w:keepLines w:val="0"/>
        <w:pageBreakBefore w:val="0"/>
        <w:widowControl/>
        <w:kinsoku/>
        <w:wordWrap w:val="0"/>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本专业赛</w:t>
      </w:r>
      <w:r>
        <w:rPr>
          <w:rFonts w:hint="default" w:ascii="Times New Roman" w:hAnsi="Times New Roman" w:eastAsia="仿宋_GB2312" w:cs="Times New Roman"/>
          <w:color w:val="auto"/>
          <w:sz w:val="32"/>
          <w:szCs w:val="32"/>
          <w:lang w:val="en-US" w:eastAsia="zh-CN"/>
        </w:rPr>
        <w:t>重点围绕新型显示、光通信、精密光学、红外、激光、智能传感等6个方向的技术应用和模式创新</w:t>
      </w:r>
      <w:r>
        <w:rPr>
          <w:rFonts w:hint="default" w:ascii="Times New Roman" w:hAnsi="Times New Roman" w:eastAsia="仿宋_GB2312" w:cs="Times New Roman"/>
          <w:sz w:val="32"/>
          <w:szCs w:val="32"/>
        </w:rPr>
        <w:t>，着力推动</w:t>
      </w:r>
      <w:r>
        <w:rPr>
          <w:rFonts w:hint="default" w:ascii="Times New Roman" w:hAnsi="Times New Roman" w:eastAsia="仿宋_GB2312" w:cs="Times New Roman"/>
          <w:sz w:val="32"/>
          <w:szCs w:val="32"/>
          <w:lang w:val="en-US" w:eastAsia="zh-CN"/>
        </w:rPr>
        <w:t>光电</w:t>
      </w:r>
      <w:r>
        <w:rPr>
          <w:rFonts w:hint="default" w:ascii="Times New Roman" w:hAnsi="Times New Roman" w:eastAsia="仿宋_GB2312" w:cs="Times New Roman"/>
          <w:sz w:val="32"/>
          <w:szCs w:val="32"/>
        </w:rPr>
        <w:t>产业前沿引领技术和关键共性技术的研发与应用。请各单位高度重视，积极发动符合条件的企业报名参赛。报名截止时间：202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日（报名具体要求详见附件）。</w:t>
      </w:r>
    </w:p>
    <w:p w14:paraId="28F745BD">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联系人及电话：</w:t>
      </w:r>
      <w:r>
        <w:rPr>
          <w:rFonts w:hint="default" w:ascii="Times New Roman" w:hAnsi="Times New Roman" w:eastAsia="仿宋_GB2312" w:cs="Times New Roman"/>
          <w:sz w:val="32"/>
          <w:szCs w:val="32"/>
        </w:rPr>
        <w:tab/>
      </w:r>
    </w:p>
    <w:p w14:paraId="761B3156">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陈均雄</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7328082052</w:t>
      </w:r>
    </w:p>
    <w:p w14:paraId="2F0702BB">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仇勇彬</w:t>
      </w:r>
      <w:r>
        <w:rPr>
          <w:rFonts w:hint="default" w:ascii="Times New Roman" w:hAnsi="Times New Roman" w:eastAsia="仿宋_GB2312" w:cs="Times New Roman"/>
          <w:sz w:val="32"/>
          <w:szCs w:val="32"/>
        </w:rPr>
        <w:t>，13226774547</w:t>
      </w:r>
    </w:p>
    <w:p w14:paraId="0B5987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技术支持：010-88656315（注册、认证、登录，企业信息变更）；18600405563，18510860556（报名技术问题）</w:t>
      </w:r>
    </w:p>
    <w:p w14:paraId="024FCB1B">
      <w:pPr>
        <w:pStyle w:val="11"/>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14:paraId="5E40B97F">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bookmarkStart w:id="2" w:name="_GoBack"/>
      <w:bookmarkEnd w:id="2"/>
      <w:r>
        <w:rPr>
          <w:rFonts w:hint="default" w:ascii="Times New Roman" w:hAnsi="Times New Roman" w:eastAsia="仿宋_GB2312" w:cs="Times New Roman"/>
          <w:sz w:val="32"/>
          <w:szCs w:val="32"/>
          <w:lang w:val="en-US" w:eastAsia="zh-CN"/>
        </w:rPr>
        <w:t>附件：第十三届中国创新创业大赛2024光电产业领域专业赛实施方案</w:t>
      </w:r>
    </w:p>
    <w:p w14:paraId="7400956C">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p>
    <w:p w14:paraId="6DB06AB6">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p>
    <w:p w14:paraId="0196696B">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320" w:firstLineChars="1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第十三届中国创新创业大赛2024光电产业领域专业赛组委会</w:t>
      </w:r>
    </w:p>
    <w:p w14:paraId="73E5DD85">
      <w:pPr>
        <w:pStyle w:val="11"/>
        <w:keepNext w:val="0"/>
        <w:keepLines w:val="0"/>
        <w:pageBreakBefore w:val="0"/>
        <w:widowControl/>
        <w:kinsoku w:val="0"/>
        <w:wordWrap/>
        <w:overflowPunct/>
        <w:topLinePunct/>
        <w:autoSpaceDE w:val="0"/>
        <w:autoSpaceDN w:val="0"/>
        <w:bidi w:val="0"/>
        <w:adjustRightInd w:val="0"/>
        <w:snapToGrid w:val="0"/>
        <w:spacing w:line="600" w:lineRule="exact"/>
        <w:ind w:firstLine="4160" w:firstLineChars="13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（北京昆仑创新研究院代章）</w:t>
      </w:r>
    </w:p>
    <w:p w14:paraId="4189C735">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2024年8月7日</w:t>
      </w:r>
    </w:p>
    <w:p w14:paraId="169609CF">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0345D55A">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260F5C40">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24050374">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38ACF90E">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056B157D">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0F41898F">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6AE050F2">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09CFBE43">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3A58A390">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1D277F6C">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06F01BE3">
      <w:pPr>
        <w:keepNext w:val="0"/>
        <w:keepLines w:val="0"/>
        <w:pageBreakBefore w:val="0"/>
        <w:widowControl w:val="0"/>
        <w:kinsoku/>
        <w:wordWrap/>
        <w:overflowPunct/>
        <w:topLinePunct w:val="0"/>
        <w:autoSpaceDE/>
        <w:autoSpaceDN/>
        <w:bidi w:val="0"/>
        <w:adjustRightInd w:val="0"/>
        <w:snapToGrid w:val="0"/>
        <w:spacing w:line="600" w:lineRule="exact"/>
        <w:ind w:right="0" w:firstLine="5120" w:firstLineChars="1600"/>
        <w:jc w:val="both"/>
        <w:textAlignment w:val="auto"/>
        <w:rPr>
          <w:rFonts w:hint="default" w:ascii="Times New Roman" w:hAnsi="Times New Roman" w:eastAsia="仿宋_GB2312" w:cs="Times New Roman"/>
          <w:color w:val="auto"/>
          <w:sz w:val="32"/>
          <w:szCs w:val="32"/>
          <w:lang w:val="en-US" w:eastAsia="zh-CN"/>
        </w:rPr>
      </w:pPr>
    </w:p>
    <w:p w14:paraId="427FB8A1">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both"/>
        <w:textAlignment w:val="auto"/>
        <w:rPr>
          <w:rFonts w:hint="default" w:ascii="Times New Roman" w:hAnsi="Times New Roman" w:eastAsia="仿宋_GB2312" w:cs="Times New Roman"/>
          <w:color w:val="auto"/>
          <w:sz w:val="32"/>
          <w:szCs w:val="32"/>
          <w:lang w:val="en-US" w:eastAsia="zh-CN"/>
        </w:rPr>
      </w:pPr>
    </w:p>
    <w:p w14:paraId="7C01D5D4">
      <w:pPr>
        <w:pStyle w:val="11"/>
        <w:rPr>
          <w:rFonts w:hint="default" w:ascii="Times New Roman" w:hAnsi="Times New Roman" w:eastAsia="仿宋_GB2312" w:cs="Times New Roman"/>
          <w:color w:val="auto"/>
          <w:sz w:val="32"/>
          <w:szCs w:val="32"/>
          <w:lang w:val="en-US" w:eastAsia="zh-CN"/>
        </w:rPr>
      </w:pPr>
    </w:p>
    <w:p w14:paraId="6E9E4A04">
      <w:pPr>
        <w:pStyle w:val="1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p w14:paraId="7E75B5C9">
      <w:pPr>
        <w:pStyle w:val="11"/>
        <w:rPr>
          <w:rFonts w:hint="default" w:ascii="Times New Roman" w:hAnsi="Times New Roman" w:eastAsia="仿宋_GB2312" w:cs="Times New Roman"/>
          <w:color w:val="auto"/>
          <w:sz w:val="32"/>
          <w:szCs w:val="32"/>
          <w:lang w:val="en-US" w:eastAsia="zh-CN"/>
        </w:rPr>
      </w:pPr>
    </w:p>
    <w:p w14:paraId="4E6DACC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第十三届中国创新创业大赛</w:t>
      </w:r>
    </w:p>
    <w:p w14:paraId="779512E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2024光电产业领域专业赛实施方案</w:t>
      </w:r>
    </w:p>
    <w:p w14:paraId="6E3E8C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rPr>
      </w:pPr>
    </w:p>
    <w:p w14:paraId="12D9E6C8">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一、专业赛主题</w:t>
      </w:r>
    </w:p>
    <w:p w14:paraId="6E197A2E">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创新引领•光耀未来</w:t>
      </w:r>
    </w:p>
    <w:p w14:paraId="0C9E8E48">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二、组织机构</w:t>
      </w:r>
    </w:p>
    <w:p w14:paraId="0D5418B5">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w:t>
      </w:r>
      <w:r>
        <w:rPr>
          <w:rFonts w:hint="eastAsia" w:ascii="楷体_GB2312" w:hAnsi="楷体_GB2312" w:eastAsia="楷体_GB2312" w:cs="楷体_GB2312"/>
          <w:b/>
          <w:bCs/>
          <w:w w:val="90"/>
          <w:sz w:val="32"/>
          <w:szCs w:val="32"/>
          <w:lang w:val="en-US" w:eastAsia="zh-CN"/>
        </w:rPr>
        <w:t>一</w:t>
      </w:r>
      <w:r>
        <w:rPr>
          <w:rFonts w:hint="default" w:ascii="楷体_GB2312" w:hAnsi="楷体_GB2312" w:eastAsia="楷体_GB2312" w:cs="楷体_GB2312"/>
          <w:b/>
          <w:bCs/>
          <w:w w:val="90"/>
          <w:sz w:val="32"/>
          <w:szCs w:val="32"/>
          <w:lang w:val="en-US" w:eastAsia="zh-CN"/>
        </w:rPr>
        <w:t>）主办单位</w:t>
      </w:r>
    </w:p>
    <w:p w14:paraId="21EA5C84">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工业和信息化部火炬高技术产业开发中心</w:t>
      </w:r>
    </w:p>
    <w:p w14:paraId="7C07A09F">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佛山市</w:t>
      </w:r>
      <w:r>
        <w:rPr>
          <w:rFonts w:hint="eastAsia" w:ascii="Times New Roman" w:hAnsi="Times New Roman" w:eastAsia="仿宋" w:cs="Times New Roman"/>
          <w:color w:val="auto"/>
          <w:sz w:val="32"/>
          <w:szCs w:val="32"/>
          <w:lang w:val="en-US" w:eastAsia="zh-CN"/>
        </w:rPr>
        <w:t>科学技术局</w:t>
      </w:r>
    </w:p>
    <w:p w14:paraId="18A18A99">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中国国际光电博览会组委会</w:t>
      </w:r>
    </w:p>
    <w:p w14:paraId="7C8A5B87">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北京昆仑创新研究院</w:t>
      </w:r>
    </w:p>
    <w:p w14:paraId="2BD82BB6">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eastAsia" w:ascii="楷体_GB2312" w:hAnsi="楷体_GB2312" w:eastAsia="楷体_GB2312" w:cs="楷体_GB2312"/>
          <w:b/>
          <w:bCs/>
          <w:w w:val="90"/>
          <w:sz w:val="32"/>
          <w:szCs w:val="32"/>
          <w:lang w:val="en-US" w:eastAsia="zh-CN"/>
        </w:rPr>
      </w:pPr>
      <w:r>
        <w:rPr>
          <w:rFonts w:hint="eastAsia" w:ascii="楷体_GB2312" w:hAnsi="楷体_GB2312" w:eastAsia="楷体_GB2312" w:cs="楷体_GB2312"/>
          <w:b/>
          <w:bCs/>
          <w:w w:val="90"/>
          <w:sz w:val="32"/>
          <w:szCs w:val="32"/>
          <w:lang w:val="en-US" w:eastAsia="zh-CN"/>
        </w:rPr>
        <w:t>（二）特别支持单位</w:t>
      </w:r>
    </w:p>
    <w:p w14:paraId="6AEB22AF">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广东省科学技术厅</w:t>
      </w:r>
    </w:p>
    <w:p w14:paraId="4B50BD43">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佛山市人民政府</w:t>
      </w:r>
    </w:p>
    <w:p w14:paraId="28A50F2D">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（三）支持单位</w:t>
      </w:r>
    </w:p>
    <w:p w14:paraId="07C98B5B">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国家新型显示技术创新中心</w:t>
      </w:r>
    </w:p>
    <w:p w14:paraId="644B1C06">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发光材料与器件国家重点实验室</w:t>
      </w:r>
    </w:p>
    <w:p w14:paraId="647A4E99">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先进显示与光电子技术国家重点实验室</w:t>
      </w:r>
    </w:p>
    <w:p w14:paraId="183CED83">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b/>
          <w:bCs/>
          <w:w w:val="90"/>
          <w:sz w:val="32"/>
          <w:szCs w:val="32"/>
          <w:lang w:val="en-US" w:eastAsia="zh-CN"/>
        </w:rPr>
      </w:pPr>
      <w:r>
        <w:rPr>
          <w:rFonts w:hint="default" w:ascii="Times New Roman" w:hAnsi="Times New Roman" w:eastAsia="仿宋" w:cs="Times New Roman"/>
          <w:color w:val="auto"/>
          <w:sz w:val="32"/>
          <w:szCs w:val="32"/>
          <w:lang w:val="en-US" w:eastAsia="zh-CN"/>
        </w:rPr>
        <w:t>广东聚华新型显示研究院</w:t>
      </w:r>
    </w:p>
    <w:p w14:paraId="35DC35F6">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（四）组委会及秘书处</w:t>
      </w:r>
    </w:p>
    <w:p w14:paraId="37DF8438">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highlight w:val="none"/>
          <w:lang w:val="en-US" w:eastAsia="zh-CN"/>
        </w:rPr>
        <w:t>组委会由大赛组织机构构成</w:t>
      </w:r>
      <w:r>
        <w:rPr>
          <w:rFonts w:hint="default" w:ascii="Times New Roman" w:hAnsi="Times New Roman" w:eastAsia="仿宋" w:cs="Times New Roman"/>
          <w:color w:val="auto"/>
          <w:sz w:val="32"/>
          <w:szCs w:val="32"/>
          <w:lang w:val="en-US" w:eastAsia="zh-CN"/>
        </w:rPr>
        <w:t>，负责赛事组织工作。组委会下设秘书处，负责落实本专业赛各项具体工作。本赛事组织方案由组委会负责解释。</w:t>
      </w:r>
    </w:p>
    <w:p w14:paraId="0416C599">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三、参赛领域</w:t>
      </w:r>
    </w:p>
    <w:p w14:paraId="31AE779B">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本专业赛以光电产业前沿引领技术以及关键共性技术研发与应用为核心，重点围绕</w:t>
      </w:r>
      <w:r>
        <w:rPr>
          <w:rFonts w:hint="default" w:ascii="Times New Roman" w:hAnsi="Times New Roman" w:eastAsia="黑体" w:cs="Times New Roman"/>
          <w:sz w:val="32"/>
          <w:szCs w:val="32"/>
          <w:lang w:val="en-US" w:eastAsia="zh-CN"/>
        </w:rPr>
        <w:t>新型显示</w:t>
      </w:r>
      <w:r>
        <w:rPr>
          <w:rFonts w:hint="default" w:ascii="Times New Roman" w:hAnsi="Times New Roman" w:eastAsia="仿宋" w:cs="Times New Roman"/>
          <w:color w:val="auto"/>
          <w:sz w:val="32"/>
          <w:szCs w:val="32"/>
          <w:lang w:val="en-US" w:eastAsia="zh-CN"/>
        </w:rPr>
        <w:t>（显示制造装备、显示材料、显示面板/模组、终端产品等）、</w:t>
      </w:r>
      <w:r>
        <w:rPr>
          <w:rFonts w:hint="default" w:ascii="Times New Roman" w:hAnsi="Times New Roman" w:eastAsia="黑体" w:cs="Times New Roman"/>
          <w:sz w:val="32"/>
          <w:szCs w:val="32"/>
          <w:lang w:val="en-US" w:eastAsia="zh-CN"/>
        </w:rPr>
        <w:t>光通信</w:t>
      </w:r>
      <w:r>
        <w:rPr>
          <w:rFonts w:hint="default" w:ascii="Times New Roman" w:hAnsi="Times New Roman" w:eastAsia="仿宋" w:cs="Times New Roman"/>
          <w:color w:val="auto"/>
          <w:sz w:val="32"/>
          <w:szCs w:val="32"/>
          <w:lang w:val="en-US" w:eastAsia="zh-CN"/>
        </w:rPr>
        <w:t>（光通信芯片、光组件、光通信器件、光通信模块、光通信数据中心设备等）、</w:t>
      </w:r>
      <w:r>
        <w:rPr>
          <w:rFonts w:hint="default" w:ascii="Times New Roman" w:hAnsi="Times New Roman" w:eastAsia="黑体" w:cs="Times New Roman"/>
          <w:sz w:val="32"/>
          <w:szCs w:val="32"/>
          <w:lang w:val="en-US" w:eastAsia="zh-CN"/>
        </w:rPr>
        <w:t>精密光学</w:t>
      </w:r>
      <w:r>
        <w:rPr>
          <w:rFonts w:hint="default" w:ascii="Times New Roman" w:hAnsi="Times New Roman" w:eastAsia="仿宋" w:cs="Times New Roman"/>
          <w:color w:val="auto"/>
          <w:sz w:val="32"/>
          <w:szCs w:val="32"/>
          <w:lang w:val="en-US" w:eastAsia="zh-CN"/>
        </w:rPr>
        <w:t>（光学元件及材料、镜头及模组、镀膜、机器视觉、AR&amp;VR、光学测量等）、</w:t>
      </w:r>
      <w:r>
        <w:rPr>
          <w:rFonts w:hint="default" w:ascii="Times New Roman" w:hAnsi="Times New Roman" w:eastAsia="黑体" w:cs="Times New Roman"/>
          <w:sz w:val="32"/>
          <w:szCs w:val="32"/>
          <w:lang w:val="en-US" w:eastAsia="zh-CN"/>
        </w:rPr>
        <w:t>红外</w:t>
      </w:r>
      <w:r>
        <w:rPr>
          <w:rFonts w:hint="default" w:ascii="Times New Roman" w:hAnsi="Times New Roman" w:eastAsia="仿宋" w:cs="Times New Roman"/>
          <w:color w:val="auto"/>
          <w:sz w:val="32"/>
          <w:szCs w:val="32"/>
          <w:lang w:val="en-US" w:eastAsia="zh-CN"/>
        </w:rPr>
        <w:t>（红外材料、红外器件、红外设备与成像、紫外技术与应用、太赫兹监测与成像等）、</w:t>
      </w:r>
      <w:r>
        <w:rPr>
          <w:rFonts w:hint="default" w:ascii="Times New Roman" w:hAnsi="Times New Roman" w:eastAsia="黑体" w:cs="Times New Roman"/>
          <w:sz w:val="32"/>
          <w:szCs w:val="32"/>
          <w:lang w:val="en-US" w:eastAsia="zh-CN"/>
        </w:rPr>
        <w:t>激光</w:t>
      </w:r>
      <w:r>
        <w:rPr>
          <w:rFonts w:hint="default" w:ascii="Times New Roman" w:hAnsi="Times New Roman" w:eastAsia="仿宋" w:cs="Times New Roman"/>
          <w:color w:val="auto"/>
          <w:sz w:val="32"/>
          <w:szCs w:val="32"/>
          <w:lang w:val="en-US" w:eastAsia="zh-CN"/>
        </w:rPr>
        <w:t>（激光材料及元器件、激光器、激光组件与辅助系统、激光设备等）、</w:t>
      </w:r>
      <w:r>
        <w:rPr>
          <w:rFonts w:hint="default" w:ascii="Times New Roman" w:hAnsi="Times New Roman" w:eastAsia="黑体" w:cs="Times New Roman"/>
          <w:sz w:val="32"/>
          <w:szCs w:val="32"/>
          <w:lang w:val="en-US" w:eastAsia="zh-CN"/>
        </w:rPr>
        <w:t>智能传感</w:t>
      </w:r>
      <w:r>
        <w:rPr>
          <w:rFonts w:hint="default" w:ascii="Times New Roman" w:hAnsi="Times New Roman" w:eastAsia="仿宋" w:cs="Times New Roman"/>
          <w:color w:val="auto"/>
          <w:sz w:val="32"/>
          <w:szCs w:val="32"/>
          <w:lang w:val="en-US" w:eastAsia="zh-CN"/>
        </w:rPr>
        <w:t>（3D成像与传感、激光雷达、毫米波雷达、生物传感器、MEMS传感、工业传感器等）等6个方向的技术及应用、模式创新进行，挖掘跨学科研发应用的深度价值与意义，聚焦产业融合大趋势下的技术创新与产业链融通。</w:t>
      </w:r>
    </w:p>
    <w:p w14:paraId="0ADB5683">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四、专业赛模式</w:t>
      </w:r>
    </w:p>
    <w:p w14:paraId="08520C0A">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（一）专业赛启动、半决赛、决赛地点</w:t>
      </w:r>
    </w:p>
    <w:p w14:paraId="44A6AF34">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广东省佛山市</w:t>
      </w:r>
    </w:p>
    <w:p w14:paraId="106DBCB2">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（二）专业赛组织形式</w:t>
      </w:r>
    </w:p>
    <w:p w14:paraId="42BEC761">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本专业赛由启动、项目征集、初赛、半决赛、决赛五个环节组成。赛事组委会将在京津冀地区、长三角地区、东南沿海地区以及中西部地区组织多场专题推介会。</w:t>
      </w:r>
    </w:p>
    <w:p w14:paraId="1A62BF62">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项目报名统一在“中国创新创业大赛”（</w:t>
      </w:r>
      <w:r>
        <w:rPr>
          <w:rFonts w:hint="default" w:ascii="Times New Roman" w:hAnsi="Times New Roman" w:eastAsia="仿宋" w:cs="Times New Roman"/>
          <w:color w:val="auto"/>
          <w:sz w:val="32"/>
          <w:szCs w:val="32"/>
          <w:lang w:val="en-US" w:eastAsia="zh-CN"/>
        </w:rPr>
        <w:fldChar w:fldCharType="begin"/>
      </w:r>
      <w:r>
        <w:rPr>
          <w:rFonts w:hint="default" w:ascii="Times New Roman" w:hAnsi="Times New Roman" w:eastAsia="仿宋" w:cs="Times New Roman"/>
          <w:color w:val="auto"/>
          <w:sz w:val="32"/>
          <w:szCs w:val="32"/>
          <w:lang w:val="en-US" w:eastAsia="zh-CN"/>
        </w:rPr>
        <w:instrText xml:space="preserve"> HYPERLINK "http://www.cxcyds.com/" </w:instrText>
      </w:r>
      <w:r>
        <w:rPr>
          <w:rFonts w:hint="default" w:ascii="Times New Roman" w:hAnsi="Times New Roman" w:eastAsia="仿宋" w:cs="Times New Roman"/>
          <w:color w:val="auto"/>
          <w:sz w:val="32"/>
          <w:szCs w:val="32"/>
          <w:lang w:val="en-US" w:eastAsia="zh-CN"/>
        </w:rPr>
        <w:fldChar w:fldCharType="separate"/>
      </w:r>
      <w:r>
        <w:rPr>
          <w:rFonts w:hint="default" w:ascii="Times New Roman" w:hAnsi="Times New Roman" w:eastAsia="仿宋" w:cs="Times New Roman"/>
          <w:color w:val="auto"/>
          <w:sz w:val="32"/>
          <w:szCs w:val="32"/>
          <w:lang w:val="en-US" w:eastAsia="zh-CN"/>
        </w:rPr>
        <w:t>www.cxcyds.com</w:t>
      </w:r>
      <w:r>
        <w:rPr>
          <w:rFonts w:hint="default" w:ascii="Times New Roman" w:hAnsi="Times New Roman" w:eastAsia="仿宋" w:cs="Times New Roman"/>
          <w:color w:val="auto"/>
          <w:sz w:val="32"/>
          <w:szCs w:val="32"/>
          <w:lang w:val="en-US" w:eastAsia="zh-CN"/>
        </w:rPr>
        <w:fldChar w:fldCharType="end"/>
      </w:r>
      <w:r>
        <w:rPr>
          <w:rFonts w:hint="default" w:ascii="Times New Roman" w:hAnsi="Times New Roman" w:eastAsia="仿宋" w:cs="Times New Roman"/>
          <w:color w:val="auto"/>
          <w:sz w:val="32"/>
          <w:szCs w:val="32"/>
          <w:lang w:val="en-US" w:eastAsia="zh-CN"/>
        </w:rPr>
        <w:t>）官方网站上进行。此外，还将以“招贤榜”方式发布命题，招募参赛项目。命题招募由赛事组委会统一向光电行业内龙头企业、高校院所征集，并集中发布。</w:t>
      </w:r>
    </w:p>
    <w:p w14:paraId="3E9983C7">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初赛采取网络评审，半决赛、决赛以现场路演的方式进行。</w:t>
      </w:r>
    </w:p>
    <w:p w14:paraId="4B66EB86">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（三）专业赛奖项设置</w:t>
      </w:r>
    </w:p>
    <w:p w14:paraId="770B0DBF">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专业赛设置以下奖项：</w:t>
      </w:r>
    </w:p>
    <w:p w14:paraId="49333076">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成长企业组：一、二、三等奖</w:t>
      </w:r>
    </w:p>
    <w:p w14:paraId="10CA0509">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初创企业组：一、二、三等奖</w:t>
      </w:r>
    </w:p>
    <w:p w14:paraId="2E0B0EEB">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优秀企业奖（不分等次）</w:t>
      </w:r>
    </w:p>
    <w:p w14:paraId="40BF13F4">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专业赛除设立赛事奖金外，还将组织光电企业、高校院所征集领域内技术需求或课题，视情设立“招贤榜”；拟协同招商银行、地方创业投资引导基金，吸引更多社会资本参与赛事；提出技术需求单位将在股权投资、数据共享、市场对接、创业辅导等方面与参赛企业融通合作。</w:t>
      </w:r>
    </w:p>
    <w:p w14:paraId="50FAED38">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五、赛事安排</w:t>
      </w:r>
    </w:p>
    <w:p w14:paraId="209172C4">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（一）专业赛启动</w:t>
      </w:r>
    </w:p>
    <w:p w14:paraId="04F5325C">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1.启动时间：2024年</w:t>
      </w:r>
      <w:r>
        <w:rPr>
          <w:rFonts w:hint="eastAsia" w:ascii="Times New Roman" w:hAnsi="Times New Roman" w:eastAsia="仿宋" w:cs="Times New Roman"/>
          <w:color w:val="auto"/>
          <w:sz w:val="32"/>
          <w:szCs w:val="32"/>
          <w:lang w:val="en-US" w:eastAsia="zh-CN"/>
        </w:rPr>
        <w:t>9月11日</w:t>
      </w:r>
    </w:p>
    <w:p w14:paraId="3A765304">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2.启动方式：拟以新闻发布会的方式举办。介绍去年专业赛的成果，对本届专业赛筹备情况进行汇报。</w:t>
      </w:r>
    </w:p>
    <w:p w14:paraId="5514CAFC">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（二）征集报名</w:t>
      </w:r>
    </w:p>
    <w:p w14:paraId="09ACB074">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1.报名时间：2024年8月</w:t>
      </w:r>
      <w:r>
        <w:rPr>
          <w:rFonts w:hint="eastAsia" w:ascii="Times New Roman" w:hAnsi="Times New Roman" w:eastAsia="仿宋" w:cs="Times New Roman"/>
          <w:color w:val="auto"/>
          <w:sz w:val="32"/>
          <w:szCs w:val="32"/>
          <w:lang w:val="en-US" w:eastAsia="zh-CN"/>
        </w:rPr>
        <w:t>21日</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lang w:val="en-US" w:eastAsia="zh-CN"/>
        </w:rPr>
        <w:t>月</w:t>
      </w:r>
      <w:r>
        <w:rPr>
          <w:rFonts w:hint="eastAsia" w:ascii="Times New Roman" w:hAnsi="Times New Roman" w:eastAsia="仿宋" w:cs="Times New Roman"/>
          <w:color w:val="auto"/>
          <w:sz w:val="32"/>
          <w:szCs w:val="32"/>
          <w:lang w:val="en-US" w:eastAsia="zh-CN"/>
        </w:rPr>
        <w:t>15日</w:t>
      </w:r>
    </w:p>
    <w:p w14:paraId="7D5DA031">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2.报名方式：参赛企业登录“中国创新创业大赛”（</w:t>
      </w:r>
      <w:r>
        <w:rPr>
          <w:rFonts w:hint="default" w:ascii="Times New Roman" w:hAnsi="Times New Roman" w:eastAsia="仿宋" w:cs="Times New Roman"/>
          <w:color w:val="auto"/>
          <w:sz w:val="32"/>
          <w:szCs w:val="32"/>
          <w:lang w:val="en-US" w:eastAsia="zh-CN"/>
        </w:rPr>
        <w:fldChar w:fldCharType="begin"/>
      </w:r>
      <w:r>
        <w:rPr>
          <w:rFonts w:hint="default" w:ascii="Times New Roman" w:hAnsi="Times New Roman" w:eastAsia="仿宋" w:cs="Times New Roman"/>
          <w:color w:val="auto"/>
          <w:sz w:val="32"/>
          <w:szCs w:val="32"/>
          <w:lang w:val="en-US" w:eastAsia="zh-CN"/>
        </w:rPr>
        <w:instrText xml:space="preserve"> HYPERLINK "http://www.cxcyds.com/" </w:instrText>
      </w:r>
      <w:r>
        <w:rPr>
          <w:rFonts w:hint="default" w:ascii="Times New Roman" w:hAnsi="Times New Roman" w:eastAsia="仿宋" w:cs="Times New Roman"/>
          <w:color w:val="auto"/>
          <w:sz w:val="32"/>
          <w:szCs w:val="32"/>
          <w:lang w:val="en-US" w:eastAsia="zh-CN"/>
        </w:rPr>
        <w:fldChar w:fldCharType="separate"/>
      </w:r>
      <w:r>
        <w:rPr>
          <w:rFonts w:hint="default" w:ascii="Times New Roman" w:hAnsi="Times New Roman" w:eastAsia="仿宋" w:cs="Times New Roman"/>
          <w:color w:val="auto"/>
          <w:sz w:val="32"/>
          <w:szCs w:val="32"/>
          <w:lang w:val="en-US" w:eastAsia="zh-CN"/>
        </w:rPr>
        <w:t>www.cxcyds.com</w:t>
      </w:r>
      <w:r>
        <w:rPr>
          <w:rFonts w:hint="default" w:ascii="Times New Roman" w:hAnsi="Times New Roman" w:eastAsia="仿宋" w:cs="Times New Roman"/>
          <w:color w:val="auto"/>
          <w:sz w:val="32"/>
          <w:szCs w:val="32"/>
          <w:lang w:val="en-US" w:eastAsia="zh-CN"/>
        </w:rPr>
        <w:fldChar w:fldCharType="end"/>
      </w:r>
      <w:r>
        <w:rPr>
          <w:rFonts w:hint="default" w:ascii="Times New Roman" w:hAnsi="Times New Roman" w:eastAsia="仿宋" w:cs="Times New Roman"/>
          <w:color w:val="auto"/>
          <w:sz w:val="32"/>
          <w:szCs w:val="32"/>
          <w:lang w:val="en-US" w:eastAsia="zh-CN"/>
        </w:rPr>
        <w:t>）官网进行线上报名。官网是专业赛报名参赛的唯一渠道，其他报名渠道均无效。参赛企业应对报名所填信息的准确性和真实性负责。</w:t>
      </w:r>
    </w:p>
    <w:p w14:paraId="4A8E7EEA">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（三）资格审查</w:t>
      </w:r>
    </w:p>
    <w:p w14:paraId="66113CF5">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1.审查时间：2024年10月下旬～11月15日。</w:t>
      </w:r>
    </w:p>
    <w:p w14:paraId="70EF90EC">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2.审查方式：赛事组委会按照本方案确定的参赛资质、专业方向，对报名的参赛企业进行资质和技术符合性审查，符合参赛条件且提交报名材料完整的参赛企业获得参赛资格。</w:t>
      </w:r>
    </w:p>
    <w:p w14:paraId="0803B774">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（四）初赛</w:t>
      </w:r>
    </w:p>
    <w:p w14:paraId="03BE0CBB">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1.初赛时间：2024年11月</w:t>
      </w:r>
      <w:r>
        <w:rPr>
          <w:rFonts w:hint="eastAsia" w:ascii="Times New Roman" w:hAnsi="Times New Roman" w:eastAsia="仿宋" w:cs="Times New Roman"/>
          <w:color w:val="auto"/>
          <w:sz w:val="32"/>
          <w:szCs w:val="32"/>
          <w:lang w:val="en-US" w:eastAsia="zh-CN"/>
        </w:rPr>
        <w:t>31日</w:t>
      </w:r>
      <w:r>
        <w:rPr>
          <w:rFonts w:hint="default" w:ascii="Times New Roman" w:hAnsi="Times New Roman" w:eastAsia="仿宋" w:cs="Times New Roman"/>
          <w:color w:val="auto"/>
          <w:sz w:val="32"/>
          <w:szCs w:val="32"/>
          <w:lang w:val="en-US" w:eastAsia="zh-CN"/>
        </w:rPr>
        <w:t>前完成。</w:t>
      </w:r>
    </w:p>
    <w:p w14:paraId="7893A6AD">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2.评审方式：线上评审。</w:t>
      </w:r>
    </w:p>
    <w:p w14:paraId="498E9D2D">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3.评审流程及内容：将参赛项目按照成长组、初创组进行分组评审，由评委针对参赛项目计划书进行打分。</w:t>
      </w:r>
    </w:p>
    <w:p w14:paraId="1827AA28">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4.初赛后遴选出一批优秀项目推送至本专业赛半决赛。</w:t>
      </w:r>
    </w:p>
    <w:p w14:paraId="109DD8E1">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5.非光电产业领域项目，技术专家有一票否决权。</w:t>
      </w:r>
    </w:p>
    <w:p w14:paraId="47A4310F">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（五）半决赛/决赛</w:t>
      </w:r>
    </w:p>
    <w:p w14:paraId="3D9C5924">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1.时间：2024年12月</w:t>
      </w:r>
      <w:r>
        <w:rPr>
          <w:rFonts w:hint="eastAsia" w:ascii="Times New Roman" w:hAnsi="Times New Roman" w:eastAsia="仿宋" w:cs="Times New Roman"/>
          <w:color w:val="auto"/>
          <w:sz w:val="32"/>
          <w:szCs w:val="32"/>
          <w:lang w:val="en-US" w:eastAsia="zh-CN"/>
        </w:rPr>
        <w:t>中旬</w:t>
      </w:r>
    </w:p>
    <w:p w14:paraId="0A564467">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2.评审方式：现场路演</w:t>
      </w:r>
    </w:p>
    <w:p w14:paraId="108E4201">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3.评审流程及内容：</w:t>
      </w:r>
    </w:p>
    <w:p w14:paraId="463ED9EF">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（1）参赛项目依次进行路演，并对评审专家提问进行答辩。路演时间不超过8分钟，答辩时间不超过7分钟。由评委针对参赛项目计划书和选手答辩打分，去掉最高分和最低分后计算出项目平均得分。</w:t>
      </w:r>
    </w:p>
    <w:p w14:paraId="563B5710">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（2）半决赛遴选优秀项目进入决赛。</w:t>
      </w:r>
    </w:p>
    <w:p w14:paraId="79B465FD">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（3）决赛决出一、二、三等奖。</w:t>
      </w:r>
    </w:p>
    <w:p w14:paraId="263CCA4F">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（4）比赛结束后现场颁奖，并组织具有合作意向的项目进行现场签约。</w:t>
      </w:r>
    </w:p>
    <w:p w14:paraId="41A9934C">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六、参赛条件</w:t>
      </w:r>
    </w:p>
    <w:p w14:paraId="4CA02995">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（一）企业具有创新能力和高成长潜力，主要从事高新技术产品研发、制造、服务等业务，拥有自主或经授权的知识产权，且无知识产权纠纷。授权的知识产权要出具授权证明。</w:t>
      </w:r>
    </w:p>
    <w:p w14:paraId="05EB0F97">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（二）企业经营规范、社会信誉良好、无不良记录</w:t>
      </w:r>
      <w:r>
        <w:rPr>
          <w:rFonts w:hint="eastAsia" w:ascii="Times New Roman" w:hAnsi="Times New Roman" w:eastAsia="仿宋" w:cs="Times New Roman"/>
          <w:color w:val="auto"/>
          <w:sz w:val="32"/>
          <w:szCs w:val="32"/>
          <w:lang w:val="en-US" w:eastAsia="zh-CN"/>
        </w:rPr>
        <w:t>，且</w:t>
      </w:r>
      <w:r>
        <w:rPr>
          <w:rFonts w:hint="default" w:ascii="Times New Roman" w:hAnsi="Times New Roman" w:eastAsia="仿宋" w:cs="Times New Roman"/>
          <w:color w:val="auto"/>
          <w:sz w:val="32"/>
          <w:szCs w:val="32"/>
          <w:lang w:val="en-US" w:eastAsia="zh-CN"/>
        </w:rPr>
        <w:t>为非上市企业。</w:t>
      </w:r>
    </w:p>
    <w:p w14:paraId="5CA609A5">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（三）本专业赛按照初创企业组和成长企业组进行比赛。工商注册日期在2023年1月1日（含）之后的企业参加初创企业组比赛，工商注册日期在2023年1月1日之前的企业参加成长企业组比赛。</w:t>
      </w:r>
    </w:p>
    <w:p w14:paraId="3E32069D">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七、大赛服务政策</w:t>
      </w:r>
    </w:p>
    <w:p w14:paraId="2B9A6882">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bookmarkStart w:id="0" w:name="_Hlk106606749"/>
      <w:r>
        <w:rPr>
          <w:rFonts w:hint="default" w:ascii="Times New Roman" w:hAnsi="Times New Roman" w:eastAsia="仿宋" w:cs="Times New Roman"/>
          <w:color w:val="auto"/>
          <w:sz w:val="32"/>
          <w:szCs w:val="32"/>
          <w:lang w:val="en-US" w:eastAsia="zh-CN"/>
        </w:rPr>
        <w:t>专业赛通过公开竞争、以赛代评的方式进行</w:t>
      </w:r>
      <w:bookmarkEnd w:id="0"/>
      <w:bookmarkStart w:id="1" w:name="_Hlk106606791"/>
      <w:r>
        <w:rPr>
          <w:rFonts w:hint="default" w:ascii="Times New Roman" w:hAnsi="Times New Roman" w:eastAsia="仿宋" w:cs="Times New Roman"/>
          <w:color w:val="auto"/>
          <w:sz w:val="32"/>
          <w:szCs w:val="32"/>
          <w:lang w:val="en-US" w:eastAsia="zh-CN"/>
        </w:rPr>
        <w:t>。赛事指导、主办、承办、支持单位依托</w:t>
      </w:r>
      <w:bookmarkEnd w:id="1"/>
      <w:r>
        <w:rPr>
          <w:rFonts w:hint="default" w:ascii="Times New Roman" w:hAnsi="Times New Roman" w:eastAsia="仿宋" w:cs="Times New Roman"/>
          <w:color w:val="auto"/>
          <w:sz w:val="32"/>
          <w:szCs w:val="32"/>
          <w:lang w:val="en-US" w:eastAsia="zh-CN"/>
        </w:rPr>
        <w:t>自身创新平台、产业平台、金融平台、人才平台等创新创业资源，遵循市场机制，平等</w:t>
      </w:r>
      <w:r>
        <w:rPr>
          <w:rFonts w:hint="eastAsia" w:ascii="Times New Roman" w:hAnsi="Times New Roman" w:eastAsia="仿宋" w:cs="Times New Roman"/>
          <w:color w:val="auto"/>
          <w:sz w:val="32"/>
          <w:szCs w:val="32"/>
          <w:lang w:val="en-US" w:eastAsia="zh-CN"/>
        </w:rPr>
        <w:t>地</w:t>
      </w:r>
      <w:r>
        <w:rPr>
          <w:rFonts w:hint="default" w:ascii="Times New Roman" w:hAnsi="Times New Roman" w:eastAsia="仿宋" w:cs="Times New Roman"/>
          <w:color w:val="auto"/>
          <w:sz w:val="32"/>
          <w:szCs w:val="32"/>
          <w:lang w:val="en-US" w:eastAsia="zh-CN"/>
        </w:rPr>
        <w:t>与参赛企业进行融通合作。服务政策具体包括：</w:t>
      </w:r>
    </w:p>
    <w:p w14:paraId="37161582">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（一）大赛奖金</w:t>
      </w:r>
    </w:p>
    <w:p w14:paraId="2D5667C1">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成长企业组：一等奖：15万（1名）</w:t>
      </w:r>
    </w:p>
    <w:p w14:paraId="42198418">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二等奖：10万（2名）</w:t>
      </w:r>
    </w:p>
    <w:p w14:paraId="34F21E43">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三等奖：5万（3名）</w:t>
      </w:r>
    </w:p>
    <w:p w14:paraId="1E436916">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初创企业组：一等奖：10万（1名）</w:t>
      </w:r>
    </w:p>
    <w:p w14:paraId="50CCFD2F">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二等奖：5万（2名）</w:t>
      </w:r>
    </w:p>
    <w:p w14:paraId="656D29A5">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三等奖：3万（3名）</w:t>
      </w:r>
    </w:p>
    <w:p w14:paraId="6C09377F">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优秀企业奖：2万（8名）</w:t>
      </w:r>
    </w:p>
    <w:p w14:paraId="3464FE31">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（二）大赛合作资源</w:t>
      </w:r>
    </w:p>
    <w:p w14:paraId="002F7A5A">
      <w:pPr>
        <w:keepNext w:val="0"/>
        <w:keepLines w:val="0"/>
        <w:pageBreakBefore w:val="0"/>
        <w:widowControl w:val="0"/>
        <w:kinsoku/>
        <w:wordWrap/>
        <w:overflowPunct/>
        <w:topLinePunct/>
        <w:autoSpaceDE/>
        <w:autoSpaceDN/>
        <w:bidi w:val="0"/>
        <w:adjustRightInd w:val="0"/>
        <w:snapToGrid w:val="0"/>
        <w:spacing w:line="620" w:lineRule="exact"/>
        <w:ind w:firstLine="643" w:firstLineChars="200"/>
        <w:jc w:val="both"/>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1.对接“招贤榜”服务</w:t>
      </w:r>
    </w:p>
    <w:p w14:paraId="2310DE79">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组委会将联合国家光电战略平台、联盟、协会、学会内大企业、高校院所提出“招贤榜”需求和课题。对晋级决赛且符合“招贤榜”需求和课题的参赛企业，需求或课题提出方与其协商后确定签署合作协议，并单独给予资金支持。</w:t>
      </w:r>
    </w:p>
    <w:p w14:paraId="614CA693">
      <w:pPr>
        <w:keepNext w:val="0"/>
        <w:keepLines w:val="0"/>
        <w:pageBreakBefore w:val="0"/>
        <w:widowControl w:val="0"/>
        <w:numPr>
          <w:ilvl w:val="0"/>
          <w:numId w:val="0"/>
        </w:numPr>
        <w:kinsoku/>
        <w:wordWrap/>
        <w:overflowPunct/>
        <w:topLinePunct/>
        <w:autoSpaceDE/>
        <w:autoSpaceDN/>
        <w:bidi w:val="0"/>
        <w:adjustRightInd w:val="0"/>
        <w:snapToGrid w:val="0"/>
        <w:spacing w:line="62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2.对接供应链资源服务</w:t>
      </w:r>
    </w:p>
    <w:p w14:paraId="57B79316">
      <w:pPr>
        <w:keepNext w:val="0"/>
        <w:keepLines w:val="0"/>
        <w:pageBreakBefore w:val="0"/>
        <w:widowControl w:val="0"/>
        <w:numPr>
          <w:ilvl w:val="0"/>
          <w:numId w:val="0"/>
        </w:numPr>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组委会将联合中国国际光电博览会组委会，对晋级决赛的企业每家赠送下一年度中国国际光电博览会展会现场80+场会议门票3张；对晋级决赛的企业可优先享受中国国际光电博览会特邀VIP买家待遇，为其推荐和匹配符合要求的参展商和产品列表，展会现场提供独立洽谈间及展商展品查询等专属服务，促成更精准高效的一对一采购对接。</w:t>
      </w:r>
    </w:p>
    <w:p w14:paraId="48FA521F">
      <w:pPr>
        <w:keepNext w:val="0"/>
        <w:keepLines w:val="0"/>
        <w:pageBreakBefore w:val="0"/>
        <w:widowControl w:val="0"/>
        <w:numPr>
          <w:ilvl w:val="0"/>
          <w:numId w:val="0"/>
        </w:numPr>
        <w:kinsoku/>
        <w:wordWrap/>
        <w:overflowPunct/>
        <w:topLinePunct/>
        <w:autoSpaceDE/>
        <w:autoSpaceDN/>
        <w:bidi w:val="0"/>
        <w:adjustRightInd w:val="0"/>
        <w:snapToGrid w:val="0"/>
        <w:spacing w:line="62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3.特色活动服务</w:t>
      </w:r>
    </w:p>
    <w:p w14:paraId="4A27CFE6">
      <w:pPr>
        <w:keepNext w:val="0"/>
        <w:keepLines w:val="0"/>
        <w:pageBreakBefore w:val="0"/>
        <w:widowControl w:val="0"/>
        <w:numPr>
          <w:ilvl w:val="0"/>
          <w:numId w:val="0"/>
        </w:numPr>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组委会在专业赛举办期间将策划三大系列活动，一是在京津冀地区、长三角地区、东南沿海地区以及中西部地区组织多场专题推介会和宣讲活动，设置创业项目路演自荐、政府政策宣讲、金融政策宣讲等环节，宣传赛事、深化融通、促进合作。二是举办“产业对接会”，联合政府、投融资机构、大企业代表等政银企资源，搭建“企业、资本、产业链的对接平台”，就引资引智、投融资及项目需求实现创新资源对接。三是举办光电产业展活动，汇集两届办赛成果，回顾大赛精彩瞬间，展示“赛事力量”推动创新创业繁荣发展。</w:t>
      </w:r>
    </w:p>
    <w:p w14:paraId="66E46521">
      <w:pPr>
        <w:keepNext w:val="0"/>
        <w:keepLines w:val="0"/>
        <w:pageBreakBefore w:val="0"/>
        <w:widowControl w:val="0"/>
        <w:numPr>
          <w:ilvl w:val="0"/>
          <w:numId w:val="0"/>
        </w:numPr>
        <w:kinsoku/>
        <w:wordWrap/>
        <w:overflowPunct/>
        <w:topLinePunct/>
        <w:autoSpaceDE/>
        <w:autoSpaceDN/>
        <w:bidi w:val="0"/>
        <w:adjustRightInd w:val="0"/>
        <w:snapToGrid w:val="0"/>
        <w:spacing w:line="62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4.专业咨询和培训方面</w:t>
      </w:r>
    </w:p>
    <w:p w14:paraId="6CFF54D8">
      <w:pPr>
        <w:keepNext w:val="0"/>
        <w:keepLines w:val="0"/>
        <w:pageBreakBefore w:val="0"/>
        <w:widowControl w:val="0"/>
        <w:numPr>
          <w:ilvl w:val="0"/>
          <w:numId w:val="0"/>
        </w:numPr>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组委会将在专业赛举办期间组织“专业赛训练营”等活动，为优秀参赛企业提供组织管理、人才管理、产品质量提升、安全风险防范等专业咨询和培训，以及专项政策对接、与大企业合作、新技术场景应用等增值服务。</w:t>
      </w:r>
    </w:p>
    <w:p w14:paraId="3D0AF5B4">
      <w:pPr>
        <w:keepNext w:val="0"/>
        <w:keepLines w:val="0"/>
        <w:pageBreakBefore w:val="0"/>
        <w:widowControl w:val="0"/>
        <w:kinsoku/>
        <w:wordWrap/>
        <w:overflowPunct/>
        <w:topLinePunct/>
        <w:autoSpaceDE/>
        <w:autoSpaceDN/>
        <w:bidi w:val="0"/>
        <w:adjustRightInd w:val="0"/>
        <w:snapToGrid w:val="0"/>
        <w:spacing w:line="62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5.金融投资服务</w:t>
      </w:r>
    </w:p>
    <w:p w14:paraId="1671E2E4">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组委会将联合国家级基金及其他市场化创业投资基金共同参与专业赛，为专业赛企业在优惠信贷、发行债券、上市融资等方面创造便利条件。对晋级决赛的企业，组委会将安排其与不少于三家的本专业赛合作基</w:t>
      </w:r>
      <w:r>
        <w:rPr>
          <w:rFonts w:hint="default" w:ascii="Times New Roman" w:hAnsi="Times New Roman" w:eastAsia="仿宋" w:cs="Times New Roman"/>
          <w:color w:val="auto"/>
          <w:sz w:val="32"/>
          <w:szCs w:val="32"/>
          <w:lang w:val="en-US" w:eastAsia="zh-CN"/>
        </w:rPr>
        <w:t>金对接，为入围企业提供绿色融资渠道。</w:t>
      </w:r>
    </w:p>
    <w:p w14:paraId="44C8B4AD">
      <w:pPr>
        <w:keepNext w:val="0"/>
        <w:keepLines w:val="0"/>
        <w:pageBreakBefore w:val="0"/>
        <w:widowControl w:val="0"/>
        <w:kinsoku/>
        <w:wordWrap/>
        <w:overflowPunct/>
        <w:topLinePunct/>
        <w:autoSpaceDE/>
        <w:autoSpaceDN/>
        <w:bidi w:val="0"/>
        <w:adjustRightInd w:val="0"/>
        <w:snapToGrid w:val="0"/>
        <w:spacing w:line="62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6.宣传推广服务</w:t>
      </w:r>
    </w:p>
    <w:p w14:paraId="76762BEA">
      <w:pPr>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组委会将联合新华社中国经济信息社、</w:t>
      </w:r>
      <w:r>
        <w:rPr>
          <w:rFonts w:hint="eastAsia" w:ascii="Times New Roman" w:hAnsi="Times New Roman" w:eastAsia="仿宋" w:cs="Times New Roman"/>
          <w:color w:val="auto"/>
          <w:sz w:val="32"/>
          <w:szCs w:val="32"/>
          <w:lang w:val="en-US" w:eastAsia="zh-CN"/>
        </w:rPr>
        <w:t>《人民日报》</w:t>
      </w:r>
      <w:r>
        <w:rPr>
          <w:rFonts w:hint="default" w:ascii="Times New Roman" w:hAnsi="Times New Roman" w:eastAsia="仿宋" w:cs="Times New Roman"/>
          <w:color w:val="auto"/>
          <w:sz w:val="32"/>
          <w:szCs w:val="32"/>
          <w:lang w:val="en-US" w:eastAsia="zh-CN"/>
        </w:rPr>
        <w:t>客户端、学习强国、中新社、人民政协等中央、国家级主流媒体，以视频报道和图文发布两种形式，集中在电视台、报纸（含客户端）、视频网站、网络媒体、新媒体等全网传播，媒体受众将超过1.5亿+。对晋级决赛的企业，大赛组委会与专业赛合作媒体机构，包括中国电子报、CINNO、显示汇、集邦咨询、亚威资讯等机构，提供专业网站推广服务，对企业产品和解决方案进行市场营销推广。</w:t>
      </w:r>
    </w:p>
    <w:p w14:paraId="2AD36ED4">
      <w:pPr>
        <w:keepNext w:val="0"/>
        <w:keepLines w:val="0"/>
        <w:pageBreakBefore w:val="0"/>
        <w:widowControl w:val="0"/>
        <w:kinsoku/>
        <w:wordWrap/>
        <w:overflowPunct/>
        <w:topLinePunct/>
        <w:autoSpaceDE/>
        <w:autoSpaceDN/>
        <w:bidi w:val="0"/>
        <w:adjustRightInd w:val="0"/>
        <w:snapToGrid w:val="0"/>
        <w:spacing w:line="620" w:lineRule="exact"/>
        <w:ind w:firstLine="579" w:firstLineChars="200"/>
        <w:jc w:val="both"/>
        <w:textAlignment w:val="auto"/>
        <w:rPr>
          <w:rFonts w:hint="default" w:ascii="楷体_GB2312" w:hAnsi="楷体_GB2312" w:eastAsia="楷体_GB2312" w:cs="楷体_GB2312"/>
          <w:b/>
          <w:bCs/>
          <w:w w:val="90"/>
          <w:sz w:val="32"/>
          <w:szCs w:val="32"/>
          <w:lang w:val="en-US" w:eastAsia="zh-CN"/>
        </w:rPr>
      </w:pPr>
      <w:r>
        <w:rPr>
          <w:rFonts w:hint="default" w:ascii="楷体_GB2312" w:hAnsi="楷体_GB2312" w:eastAsia="楷体_GB2312" w:cs="楷体_GB2312"/>
          <w:b/>
          <w:bCs/>
          <w:w w:val="90"/>
          <w:sz w:val="32"/>
          <w:szCs w:val="32"/>
          <w:lang w:val="en-US" w:eastAsia="zh-CN"/>
        </w:rPr>
        <w:t>（三）佛山市优惠政策</w:t>
      </w:r>
    </w:p>
    <w:p w14:paraId="5D555E18">
      <w:pPr>
        <w:pStyle w:val="3"/>
        <w:keepNext w:val="0"/>
        <w:keepLines w:val="0"/>
        <w:pageBreakBefore w:val="0"/>
        <w:widowControl w:val="0"/>
        <w:kinsoku/>
        <w:wordWrap/>
        <w:overflowPunct/>
        <w:topLinePunct/>
        <w:autoSpaceDE/>
        <w:autoSpaceDN/>
        <w:bidi w:val="0"/>
        <w:adjustRightInd w:val="0"/>
        <w:snapToGrid w:val="0"/>
        <w:spacing w:line="620" w:lineRule="exact"/>
        <w:ind w:firstLine="640" w:firstLineChars="200"/>
        <w:jc w:val="both"/>
        <w:textAlignment w:val="baseline"/>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对于佛山市当地参赛的获奖项目和落地佛山的获奖项目，由佛山市科技局对其做好我市现行相关普惠型奖补政策宣传和指导申报等服务工作</w:t>
      </w:r>
      <w:r>
        <w:rPr>
          <w:rFonts w:hint="eastAsia" w:ascii="Times New Roman" w:hAnsi="Times New Roman" w:eastAsia="仿宋" w:cs="Times New Roman"/>
          <w:snapToGrid w:val="0"/>
          <w:color w:val="auto"/>
          <w:kern w:val="0"/>
          <w:sz w:val="32"/>
          <w:szCs w:val="32"/>
          <w:lang w:val="en-US" w:eastAsia="zh-CN" w:bidi="ar-SA"/>
        </w:rPr>
        <w:t>。</w:t>
      </w:r>
    </w:p>
    <w:sectPr>
      <w:footerReference r:id="rId5" w:type="default"/>
      <w:pgSz w:w="11906" w:h="16839"/>
      <w:pgMar w:top="2098" w:right="1474" w:bottom="1984" w:left="1587"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918A61-F89F-4FCE-BF2B-4D5E000A86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B9E81C8-7AE5-4B77-A507-8D1771C44539}"/>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auto"/>
    <w:pitch w:val="default"/>
    <w:sig w:usb0="00000000" w:usb1="00000000" w:usb2="00000000" w:usb3="00000000" w:csb0="00040000" w:csb1="00000000"/>
    <w:embedRegular r:id="rId3" w:fontKey="{44F87EDA-399A-427E-B470-B12160E39A11}"/>
  </w:font>
  <w:font w:name="仿宋_GB2312">
    <w:altName w:val="仿宋"/>
    <w:panose1 w:val="02010609030101010101"/>
    <w:charset w:val="86"/>
    <w:family w:val="auto"/>
    <w:pitch w:val="default"/>
    <w:sig w:usb0="00000000" w:usb1="00000000" w:usb2="00000000" w:usb3="00000000" w:csb0="00040000" w:csb1="00000000"/>
    <w:embedRegular r:id="rId4" w:fontKey="{2F52D24D-6C8F-44BD-B425-B1CA1B45C1C6}"/>
  </w:font>
  <w:font w:name="楷体_GB2312">
    <w:altName w:val="楷体"/>
    <w:panose1 w:val="02010609030101010101"/>
    <w:charset w:val="86"/>
    <w:family w:val="auto"/>
    <w:pitch w:val="default"/>
    <w:sig w:usb0="00000000" w:usb1="00000000" w:usb2="00000000" w:usb3="00000000" w:csb0="00040000" w:csb1="00000000"/>
    <w:embedRegular r:id="rId5" w:fontKey="{E7926351-B272-4728-8E5B-A0B5F6D8165B}"/>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07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-787400</wp:posOffset>
              </wp:positionV>
              <wp:extent cx="427990" cy="306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799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46889">
                          <w:pPr>
                            <w:pStyle w:val="4"/>
                            <w:rPr>
                              <w:rFonts w:hint="eastAsia" w:asciiTheme="minorEastAsia" w:hAnsiTheme="minorEastAsia" w:eastAsiaTheme="minorEastAsia" w:cs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2pt;height:24.1pt;width:33.7pt;mso-position-horizontal:center;mso-position-horizontal-relative:margin;z-index:251659264;mso-width-relative:page;mso-height-relative:page;" filled="f" stroked="f" coordsize="21600,21600" o:gfxdata="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Ez37rYAAAACAEAAA8AAAAAAAAAAQAgAAAAIgAAAGRycy9kb3ducmV2&#10;LnhtbFBLAQIUABQAAAAIAIdO4kA6xAJMNQIAAGEEAAAOAAAAAAAAAAEAIAAAACcBAABkcnMvZTJv&#10;RG9jLnhtbFBLBQYAAAAABgAGAFkBAADOBQAAAAA=&#10;">
              <v:fill on="f" focussize="0,0"/>
              <v:stroke on="f" weight="0.5pt"/>
              <v:imagedata o:title=""/>
              <o:lock v:ext="edit" aspectratio="f"/>
              <v:textbox inset="0mm,0mm,0mm,0mm">
                <w:txbxContent>
                  <w:p w14:paraId="7CD46889">
                    <w:pPr>
                      <w:pStyle w:val="4"/>
                      <w:rPr>
                        <w:rFonts w:hint="eastAsia" w:asciiTheme="minorEastAsia" w:hAnsiTheme="minorEastAsia" w:eastAsiaTheme="minorEastAsia" w:cs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A1ZDE2MjA0N2UzNmY3OWE4N2NmMTIxMTMyMGE4YmEifQ=="/>
  </w:docVars>
  <w:rsids>
    <w:rsidRoot w:val="00000000"/>
    <w:rsid w:val="70133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纯文本1"/>
    <w:basedOn w:val="1"/>
    <w:qFormat/>
    <w:uiPriority w:val="0"/>
    <w:rPr>
      <w:rFonts w:ascii="Calibri" w:hAnsi="Courier New"/>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Plain Text"/>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3405</Words>
  <Characters>3580</Characters>
  <Lines>0</Lines>
  <Paragraphs>0</Paragraphs>
  <TotalTime>0</TotalTime>
  <ScaleCrop>false</ScaleCrop>
  <LinksUpToDate>false</LinksUpToDate>
  <CharactersWithSpaces>3581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2024-06-26T07:27:00Z</dcterms:created>
  <dc:creator>Administrator</dc:creator>
  <cp:lastModifiedBy>芸子</cp:lastModifiedBy>
  <cp:lastPrinted>2024-07-16T19:48:00Z</cp:lastPrinted>
  <dcterms:modified xsi:type="dcterms:W3CDTF">2024-10-24T02:08:14Z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2024-07-08T21:37:00Z</vt:filetime>
  </property>
  <property fmtid="{D5CDD505-2E9C-101B-9397-08002B2CF9AE}" pid="4" name="KSOProductBuildVer">
    <vt:lpwstr>2052-12.1.0.18608</vt:lpwstr>
  </property>
  <property fmtid="{D5CDD505-2E9C-101B-9397-08002B2CF9AE}" pid="5" name="ICV">
    <vt:lpwstr>73195AA0290440FCAC6190EDD2782AD8_13</vt:lpwstr>
  </property>
</Properties>
</file>